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BE5C7">
      <w:pPr>
        <w:jc w:val="left"/>
        <w:rPr>
          <w:rFonts w:hint="eastAsia" w:ascii="仿宋_GB2312" w:hAnsi="仿宋_GB2312" w:eastAsia="仿宋_GB2312" w:cs="黑体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楷体"/>
          <w:sz w:val="32"/>
          <w:szCs w:val="32"/>
        </w:rPr>
        <w:t>附件1：</w:t>
      </w:r>
    </w:p>
    <w:p w14:paraId="37422875">
      <w:pPr>
        <w:jc w:val="center"/>
        <w:rPr>
          <w:rFonts w:hint="default" w:ascii="小标宋" w:hAnsi="小标宋" w:eastAsia="小标宋" w:cs="小标宋"/>
          <w:sz w:val="30"/>
          <w:szCs w:val="30"/>
          <w:lang w:val="en-US" w:eastAsia="zh-CN"/>
        </w:rPr>
      </w:pPr>
      <w:r>
        <w:rPr>
          <w:rFonts w:hint="default" w:ascii="小标宋" w:hAnsi="小标宋" w:eastAsia="小标宋" w:cs="小标宋"/>
          <w:sz w:val="30"/>
          <w:szCs w:val="30"/>
          <w:lang w:val="en-US" w:eastAsia="zh-CN"/>
        </w:rPr>
        <w:t>实验林场（鹫峰国家森林公园）有关情况介绍</w:t>
      </w:r>
    </w:p>
    <w:p w14:paraId="6F1D2C6A">
      <w:pPr>
        <w:spacing w:line="56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1952年，国家高等教育院校调整，由北京农业大学林学系、森林专修科和河北农业大学林学系合并成立北京林学院，办学地址选在北京西山的大觉寺、响塘庙、秀峰寺等区域，其周边荒山荒地划归林学院造林实习。1954年，北京林学院迁至海淀区肖庄，原址作为教学实习林场。1992年，经原林业部批准在实验林场的基础上成立北京鹫峰森林公园，2003年晋升为国家级森林公园，2009年公园被评为国家AAA级旅游景区，2021年作为森林公园纳入自然保护地管理。</w:t>
      </w:r>
    </w:p>
    <w:p w14:paraId="3AC3E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1.“一校两区一园”重要组成部分。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7月，校党委提出构建“一校两区一园”新发展格局，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其中“一园”指鹫峰生态文明宣传教育和绿色科技创新园区。</w:t>
      </w:r>
    </w:p>
    <w:p w14:paraId="045A7A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辖区面积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林场总占地面积765.26公顷（11478亩），由9宗土地组成，其中海淀区有8宗土地，面积503.70公顷（7555.49亩），门头沟区有1宗土地，面积261.56公顷（3923.39亩）。</w:t>
      </w:r>
    </w:p>
    <w:p w14:paraId="1ED202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自然资源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实验林场划分为4大经营区、15个林班、106个小班，典型地带性植被是暖温带落叶阔叶林，植物种类丰富，辖区内有高等植物121科447属955种（包括变种）、昆虫种类14目122科539种。实验林场辖区内分布有古树54株，以油松、侧柏、银杏、白皮松等为主，其中一级古树47株，二级古树7株，主要分布在金山寺院外西侧、秀峰寺和普照寺等区域。</w:t>
      </w:r>
    </w:p>
    <w:p w14:paraId="47B46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人文资源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公园内有丰富的人文景观，包括始建于辽代的鹫峰山庄，明清时期的秀峰寺、普照寺、福顺寺（响塘庙），民国时期的鹫峰地震台、消债寺等。其中普照寺为北京市级文物，鹫峰山庄、秀峰寺、响塘庙为海淀区级文物。</w:t>
      </w:r>
    </w:p>
    <w:p w14:paraId="54C0F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服务设施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实验林场现有建筑总面积2.1万m</w:t>
      </w:r>
      <w:r>
        <w:rPr>
          <w:rFonts w:hint="eastAsia" w:ascii="Times New Roman" w:hAnsi="Times New Roman" w:eastAsia="仿宋_GB2312" w:cs="仿宋_GB2312"/>
          <w:sz w:val="32"/>
          <w:szCs w:val="32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其中包括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教学楼，主要为教室、会议室、阶梯教室；秀峰寺，主要为会议、住宿使用；学生宿舍楼，主要用作教学科研实习科研服务住宿；鹫峰餐厅、秀峰餐厅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0A6E3C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科研项目。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自林场建立至今，各学院先后在林场建立多个科研基地和实验室，包括园林学院建立国际梅园、梅花温室、牡丹基地，水土保持学院建立的人工降雨大厅、风沙物理实验室、生态工程修复实验室、坡面径流小区、蒸渗仪气象场，林学院建立的森林培育温室、园林绿化废弃物资源化再利用示范基地，工学院建立的林业装备鹫峰试验基地，材料学院建立的教学楼实验室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等等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5D34FF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鹫峰国家森林公园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1992年，经原林业部批准在实验林场的基础上成立北京鹫峰森林公园，2003年晋升为国家级森林公园，2009年公园被评为国家AAA级旅游景区。森林公园近三年年均接待游客7万人次。</w:t>
      </w:r>
    </w:p>
    <w:p w14:paraId="5E83FFD7">
      <w:pPr>
        <w:rPr>
          <w:rFonts w:hint="eastAsia" w:ascii="仿宋_GB2312" w:hAnsi="仿宋_GB2312" w:eastAsia="仿宋_GB2312" w:cs="楷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br w:type="page"/>
      </w:r>
    </w:p>
    <w:p w14:paraId="5A050F5E">
      <w:pPr>
        <w:jc w:val="left"/>
        <w:rPr>
          <w:rFonts w:hint="eastAsia" w:ascii="仿宋_GB2312" w:hAnsi="仿宋_GB2312" w:eastAsia="仿宋_GB2312" w:cs="黑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</w:t>
      </w: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楷体"/>
          <w:sz w:val="32"/>
          <w:szCs w:val="32"/>
        </w:rPr>
        <w:t>：</w:t>
      </w:r>
    </w:p>
    <w:p w14:paraId="5E2BB75B">
      <w:pPr>
        <w:jc w:val="center"/>
        <w:rPr>
          <w:rFonts w:hint="eastAsia" w:ascii="小标宋" w:hAnsi="小标宋" w:eastAsia="小标宋" w:cs="小标宋"/>
          <w:sz w:val="30"/>
          <w:szCs w:val="30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生态文明素养提升</w:t>
      </w:r>
      <w:r>
        <w:rPr>
          <w:rFonts w:hint="eastAsia" w:ascii="小标宋" w:hAnsi="小标宋" w:eastAsia="小标宋" w:cs="小标宋"/>
          <w:sz w:val="30"/>
          <w:szCs w:val="30"/>
        </w:rPr>
        <w:t>课程教学设计表（个人）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199"/>
        <w:gridCol w:w="1199"/>
        <w:gridCol w:w="888"/>
        <w:gridCol w:w="341"/>
        <w:gridCol w:w="103"/>
        <w:gridCol w:w="1200"/>
        <w:gridCol w:w="446"/>
        <w:gridCol w:w="622"/>
        <w:gridCol w:w="1468"/>
      </w:tblGrid>
      <w:tr w14:paraId="118D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7" w:hRule="atLeast"/>
          <w:jc w:val="center"/>
        </w:trPr>
        <w:tc>
          <w:tcPr>
            <w:tcW w:w="1594" w:type="dxa"/>
            <w:vAlign w:val="center"/>
          </w:tcPr>
          <w:p w14:paraId="2A828E6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所选组别</w:t>
            </w:r>
          </w:p>
        </w:tc>
        <w:tc>
          <w:tcPr>
            <w:tcW w:w="3627" w:type="dxa"/>
            <w:gridSpan w:val="4"/>
            <w:vAlign w:val="center"/>
          </w:tcPr>
          <w:p w14:paraId="74D338D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</w:rPr>
              <w:t>儿童课程组</w:t>
            </w:r>
          </w:p>
        </w:tc>
        <w:tc>
          <w:tcPr>
            <w:tcW w:w="3839" w:type="dxa"/>
            <w:gridSpan w:val="5"/>
            <w:vAlign w:val="center"/>
          </w:tcPr>
          <w:p w14:paraId="6A4FC78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青少年及</w:t>
            </w:r>
            <w:r>
              <w:rPr>
                <w:rFonts w:hint="eastAsia" w:ascii="黑体" w:hAnsi="黑体" w:eastAsia="黑体" w:cs="宋体"/>
                <w:sz w:val="24"/>
              </w:rPr>
              <w:t>成人课程组</w:t>
            </w:r>
          </w:p>
        </w:tc>
      </w:tr>
      <w:tr w14:paraId="0D36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Align w:val="center"/>
          </w:tcPr>
          <w:p w14:paraId="0FB530A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课程主题</w:t>
            </w:r>
          </w:p>
        </w:tc>
        <w:tc>
          <w:tcPr>
            <w:tcW w:w="7466" w:type="dxa"/>
            <w:gridSpan w:val="9"/>
            <w:vAlign w:val="center"/>
          </w:tcPr>
          <w:p w14:paraId="1180D2EF">
            <w:pPr>
              <w:ind w:firstLine="480" w:firstLineChars="200"/>
              <w:jc w:val="left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鹫峰山林生态系统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动植物多样性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地质地貌特征</w:t>
            </w:r>
          </w:p>
          <w:p w14:paraId="3EC90D33">
            <w:pPr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生态保护实践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低碳生态游览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其他：</w:t>
            </w:r>
            <w:r>
              <w:rPr>
                <w:rFonts w:hint="eastAsia" w:ascii="黑体" w:hAnsi="黑体" w:eastAsia="黑体" w:cs="宋体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  <w:tr w14:paraId="4BBE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Merge w:val="restart"/>
            <w:vAlign w:val="center"/>
          </w:tcPr>
          <w:p w14:paraId="1808116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讲师信息</w:t>
            </w:r>
          </w:p>
        </w:tc>
        <w:tc>
          <w:tcPr>
            <w:tcW w:w="1199" w:type="dxa"/>
            <w:vAlign w:val="center"/>
          </w:tcPr>
          <w:p w14:paraId="525F1B5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199" w:type="dxa"/>
            <w:vAlign w:val="center"/>
          </w:tcPr>
          <w:p w14:paraId="5F80F65D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D86640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200" w:type="dxa"/>
            <w:vAlign w:val="center"/>
          </w:tcPr>
          <w:p w14:paraId="41DAE1D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23DCB60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468" w:type="dxa"/>
            <w:vAlign w:val="center"/>
          </w:tcPr>
          <w:p w14:paraId="102B0BF4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981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Merge w:val="continue"/>
            <w:vAlign w:val="center"/>
          </w:tcPr>
          <w:p w14:paraId="5323FA5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F0F82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199" w:type="dxa"/>
            <w:vAlign w:val="center"/>
          </w:tcPr>
          <w:p w14:paraId="22D155A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4A0293F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200" w:type="dxa"/>
            <w:vAlign w:val="center"/>
          </w:tcPr>
          <w:p w14:paraId="5E20DC63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4A15663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468" w:type="dxa"/>
            <w:vAlign w:val="center"/>
          </w:tcPr>
          <w:p w14:paraId="0D87992B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02CF6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Merge w:val="continue"/>
            <w:vAlign w:val="center"/>
          </w:tcPr>
          <w:p w14:paraId="14F904D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BA629D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联系电话</w:t>
            </w:r>
          </w:p>
        </w:tc>
        <w:tc>
          <w:tcPr>
            <w:tcW w:w="2087" w:type="dxa"/>
            <w:gridSpan w:val="2"/>
            <w:vAlign w:val="center"/>
          </w:tcPr>
          <w:p w14:paraId="64E66D64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798B994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电子邮箱</w:t>
            </w:r>
          </w:p>
        </w:tc>
        <w:tc>
          <w:tcPr>
            <w:tcW w:w="2090" w:type="dxa"/>
            <w:gridSpan w:val="2"/>
            <w:vAlign w:val="center"/>
          </w:tcPr>
          <w:p w14:paraId="4A57A39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3DF7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1594" w:type="dxa"/>
            <w:vAlign w:val="center"/>
          </w:tcPr>
          <w:p w14:paraId="75B6F1CF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教学目标</w:t>
            </w:r>
          </w:p>
          <w:p w14:paraId="5DF25A2F">
            <w:pPr>
              <w:jc w:val="center"/>
              <w:rPr>
                <w:rFonts w:hint="eastAsia" w:ascii="黑体" w:hAnsi="黑体" w:eastAsia="黑体" w:cs="宋体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66" w:type="dxa"/>
            <w:gridSpan w:val="9"/>
            <w:vAlign w:val="center"/>
          </w:tcPr>
          <w:p w14:paraId="5C724FEC">
            <w:pPr>
              <w:jc w:val="center"/>
              <w:rPr>
                <w:rFonts w:hint="eastAsia" w:ascii="仿宋_GB2312" w:hAnsi="仿宋_GB2312" w:eastAsia="仿宋_GB2312" w:cs="楷体"/>
                <w:sz w:val="24"/>
              </w:rPr>
            </w:pPr>
            <w:r>
              <w:rPr>
                <w:rFonts w:hint="eastAsia" w:ascii="仿宋_GB2312" w:hAnsi="仿宋_GB2312" w:eastAsia="仿宋_GB2312" w:cs="楷体"/>
                <w:sz w:val="24"/>
              </w:rPr>
              <w:t>（知识目标、能力目标、情感态度价值观）</w:t>
            </w:r>
          </w:p>
        </w:tc>
      </w:tr>
      <w:tr w14:paraId="522F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94" w:type="dxa"/>
            <w:vAlign w:val="center"/>
          </w:tcPr>
          <w:p w14:paraId="169AF8A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教学方法及重难点</w:t>
            </w:r>
          </w:p>
          <w:p w14:paraId="0797DB7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66" w:type="dxa"/>
            <w:gridSpan w:val="9"/>
            <w:vAlign w:val="center"/>
          </w:tcPr>
          <w:p w14:paraId="353BFA5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EAD0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594" w:type="dxa"/>
            <w:vAlign w:val="center"/>
          </w:tcPr>
          <w:p w14:paraId="30D76E4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教学设计</w:t>
            </w:r>
          </w:p>
          <w:p w14:paraId="7C238E9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及思路</w:t>
            </w:r>
          </w:p>
          <w:p w14:paraId="19EB592A">
            <w:pPr>
              <w:jc w:val="center"/>
              <w:rPr>
                <w:rFonts w:hint="eastAsia" w:ascii="黑体" w:hAnsi="黑体" w:eastAsia="黑体" w:cs="宋体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</w:t>
            </w:r>
            <w:r>
              <w:rPr>
                <w:rFonts w:ascii="黑体" w:hAnsi="黑体" w:eastAsia="黑体" w:cs="宋体"/>
                <w:sz w:val="18"/>
                <w:szCs w:val="18"/>
              </w:rPr>
              <w:t>5</w:t>
            </w:r>
            <w:r>
              <w:rPr>
                <w:rFonts w:hint="eastAsia" w:ascii="黑体" w:hAnsi="黑体" w:eastAsia="黑体" w:cs="宋体"/>
                <w:sz w:val="18"/>
                <w:szCs w:val="18"/>
              </w:rPr>
              <w:t>00字以内）</w:t>
            </w:r>
          </w:p>
        </w:tc>
        <w:tc>
          <w:tcPr>
            <w:tcW w:w="7466" w:type="dxa"/>
            <w:gridSpan w:val="9"/>
            <w:vAlign w:val="center"/>
          </w:tcPr>
          <w:p w14:paraId="4F7CFA4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1729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1594" w:type="dxa"/>
            <w:vAlign w:val="center"/>
          </w:tcPr>
          <w:p w14:paraId="41397D5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课后作业及思考</w:t>
            </w:r>
          </w:p>
        </w:tc>
        <w:tc>
          <w:tcPr>
            <w:tcW w:w="7466" w:type="dxa"/>
            <w:gridSpan w:val="9"/>
            <w:vAlign w:val="center"/>
          </w:tcPr>
          <w:p w14:paraId="393FA36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283E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594" w:type="dxa"/>
            <w:vAlign w:val="center"/>
          </w:tcPr>
          <w:p w14:paraId="71E6410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备注</w:t>
            </w:r>
          </w:p>
        </w:tc>
        <w:tc>
          <w:tcPr>
            <w:tcW w:w="7466" w:type="dxa"/>
            <w:gridSpan w:val="9"/>
            <w:vAlign w:val="center"/>
          </w:tcPr>
          <w:p w14:paraId="047C683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 w14:paraId="585AF7CA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楷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</w:t>
      </w: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楷体"/>
          <w:sz w:val="32"/>
          <w:szCs w:val="32"/>
        </w:rPr>
        <w:t>：</w:t>
      </w:r>
    </w:p>
    <w:p w14:paraId="7DA8C114">
      <w:pPr>
        <w:jc w:val="center"/>
        <w:rPr>
          <w:rFonts w:hint="eastAsia" w:ascii="小标宋" w:hAnsi="小标宋" w:eastAsia="小标宋" w:cs="小标宋"/>
          <w:sz w:val="30"/>
          <w:szCs w:val="30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生态文明素养提升</w:t>
      </w:r>
      <w:r>
        <w:rPr>
          <w:rFonts w:hint="eastAsia" w:ascii="小标宋" w:hAnsi="小标宋" w:eastAsia="小标宋" w:cs="小标宋"/>
          <w:sz w:val="30"/>
          <w:szCs w:val="30"/>
        </w:rPr>
        <w:t>课程</w:t>
      </w: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教学</w:t>
      </w:r>
      <w:r>
        <w:rPr>
          <w:rFonts w:hint="eastAsia" w:ascii="小标宋" w:hAnsi="小标宋" w:eastAsia="小标宋" w:cs="小标宋"/>
          <w:sz w:val="30"/>
          <w:szCs w:val="30"/>
        </w:rPr>
        <w:t>设计表（团队）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1098"/>
        <w:gridCol w:w="1243"/>
        <w:gridCol w:w="1243"/>
        <w:gridCol w:w="62"/>
        <w:gridCol w:w="1270"/>
        <w:gridCol w:w="1250"/>
        <w:gridCol w:w="1272"/>
      </w:tblGrid>
      <w:tr w14:paraId="1F2B9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Align w:val="center"/>
          </w:tcPr>
          <w:p w14:paraId="4798ED7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所选组别</w:t>
            </w:r>
          </w:p>
        </w:tc>
        <w:tc>
          <w:tcPr>
            <w:tcW w:w="3646" w:type="dxa"/>
            <w:gridSpan w:val="4"/>
            <w:vAlign w:val="center"/>
          </w:tcPr>
          <w:p w14:paraId="761A668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</w:rPr>
              <w:t>儿童课程组</w:t>
            </w:r>
          </w:p>
        </w:tc>
        <w:tc>
          <w:tcPr>
            <w:tcW w:w="3792" w:type="dxa"/>
            <w:gridSpan w:val="3"/>
            <w:vAlign w:val="center"/>
          </w:tcPr>
          <w:p w14:paraId="5FB2CFB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青少年及</w:t>
            </w:r>
            <w:r>
              <w:rPr>
                <w:rFonts w:hint="eastAsia" w:ascii="黑体" w:hAnsi="黑体" w:eastAsia="黑体" w:cs="宋体"/>
                <w:sz w:val="24"/>
              </w:rPr>
              <w:t>成人课程组</w:t>
            </w:r>
          </w:p>
        </w:tc>
      </w:tr>
      <w:tr w14:paraId="7D2C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Align w:val="center"/>
          </w:tcPr>
          <w:p w14:paraId="6805486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课程主题</w:t>
            </w:r>
          </w:p>
        </w:tc>
        <w:tc>
          <w:tcPr>
            <w:tcW w:w="7438" w:type="dxa"/>
            <w:gridSpan w:val="7"/>
            <w:vAlign w:val="center"/>
          </w:tcPr>
          <w:p w14:paraId="7F4B00FE">
            <w:pPr>
              <w:ind w:firstLine="480" w:firstLineChars="200"/>
              <w:jc w:val="left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鹫峰山林生态系统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动植物多样性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地质地貌特征</w:t>
            </w:r>
          </w:p>
          <w:p w14:paraId="5BC5A024">
            <w:pPr>
              <w:ind w:firstLine="480" w:firstLineChars="200"/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生态保护实践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低碳生态游览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其他：</w:t>
            </w:r>
            <w:r>
              <w:rPr>
                <w:rFonts w:hint="eastAsia" w:ascii="黑体" w:hAnsi="黑体" w:eastAsia="黑体" w:cs="宋体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  <w:tr w14:paraId="50CE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Align w:val="center"/>
          </w:tcPr>
          <w:p w14:paraId="712C621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团队名称</w:t>
            </w:r>
          </w:p>
        </w:tc>
        <w:tc>
          <w:tcPr>
            <w:tcW w:w="7438" w:type="dxa"/>
            <w:gridSpan w:val="7"/>
            <w:vAlign w:val="center"/>
          </w:tcPr>
          <w:p w14:paraId="61A7DCBE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717FD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060" w:type="dxa"/>
            <w:gridSpan w:val="8"/>
            <w:vAlign w:val="center"/>
          </w:tcPr>
          <w:p w14:paraId="2D68A4C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团队负责人信息</w:t>
            </w:r>
          </w:p>
        </w:tc>
      </w:tr>
      <w:tr w14:paraId="7749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43EFDBF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负责人</w:t>
            </w:r>
          </w:p>
        </w:tc>
        <w:tc>
          <w:tcPr>
            <w:tcW w:w="1098" w:type="dxa"/>
            <w:vAlign w:val="center"/>
          </w:tcPr>
          <w:p w14:paraId="1343440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7E34185F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2080AB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53124A8F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2A66C1F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2E253E4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794D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1F5FCCD4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384461D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0065AF00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E601C89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76924F8F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5A7190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5BF82AA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FF18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0CFB31A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52D4B31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联系电话</w:t>
            </w:r>
          </w:p>
        </w:tc>
        <w:tc>
          <w:tcPr>
            <w:tcW w:w="1243" w:type="dxa"/>
            <w:vAlign w:val="center"/>
          </w:tcPr>
          <w:p w14:paraId="341F1E5C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1343CF0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电子邮箱</w:t>
            </w:r>
          </w:p>
        </w:tc>
        <w:tc>
          <w:tcPr>
            <w:tcW w:w="3854" w:type="dxa"/>
            <w:gridSpan w:val="4"/>
            <w:vAlign w:val="center"/>
          </w:tcPr>
          <w:p w14:paraId="39B089F5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5A940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060" w:type="dxa"/>
            <w:gridSpan w:val="8"/>
            <w:vAlign w:val="center"/>
          </w:tcPr>
          <w:p w14:paraId="6FD45EF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团队成员信息</w:t>
            </w:r>
          </w:p>
        </w:tc>
      </w:tr>
      <w:tr w14:paraId="6447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512BB0C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成员1</w:t>
            </w:r>
          </w:p>
        </w:tc>
        <w:tc>
          <w:tcPr>
            <w:tcW w:w="1098" w:type="dxa"/>
            <w:vAlign w:val="center"/>
          </w:tcPr>
          <w:p w14:paraId="0C99103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0D7949B5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72C8A1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25A3847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0711AE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48ED17E1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588E4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583B991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07D4F37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6FFA8533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60AC39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7D73AC4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170B37E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106E8642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C96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41C00C4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成员2</w:t>
            </w:r>
          </w:p>
        </w:tc>
        <w:tc>
          <w:tcPr>
            <w:tcW w:w="1098" w:type="dxa"/>
            <w:vAlign w:val="center"/>
          </w:tcPr>
          <w:p w14:paraId="62F6C85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7762E45B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2111D7E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662C094E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10FD6DD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0A31386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5BBD1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731DE96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4928BD2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67E055D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2269E2F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1A454ECC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7E686AC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1892105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4133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0372B3C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成员3</w:t>
            </w:r>
          </w:p>
        </w:tc>
        <w:tc>
          <w:tcPr>
            <w:tcW w:w="1098" w:type="dxa"/>
            <w:vAlign w:val="center"/>
          </w:tcPr>
          <w:p w14:paraId="78C01D0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542BAD90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D19FC2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1C04FB9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0A8CE0D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1C79E0B2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7EC1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57827904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6D5BCC8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3BEF397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0FC803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39BF4CB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63445B64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10AE3B08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C52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15C2D2B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成员4</w:t>
            </w:r>
          </w:p>
        </w:tc>
        <w:tc>
          <w:tcPr>
            <w:tcW w:w="1098" w:type="dxa"/>
            <w:vAlign w:val="center"/>
          </w:tcPr>
          <w:p w14:paraId="797C6824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3C533C8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0F2136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5338FF0C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62AF27F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17DE8435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27D9C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4376EF9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55C415F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63A39512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701FF2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67C0F66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52B0CA8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3F869E8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CFF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22" w:type="dxa"/>
            <w:vAlign w:val="center"/>
          </w:tcPr>
          <w:p w14:paraId="58E774E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团队分工</w:t>
            </w:r>
          </w:p>
        </w:tc>
        <w:tc>
          <w:tcPr>
            <w:tcW w:w="7438" w:type="dxa"/>
            <w:gridSpan w:val="7"/>
            <w:vAlign w:val="center"/>
          </w:tcPr>
          <w:p w14:paraId="4E62A0E0">
            <w:pPr>
              <w:rPr>
                <w:rFonts w:hint="eastAsia" w:ascii="仿宋_GB2312" w:hAnsi="仿宋_GB2312" w:eastAsia="仿宋_GB2312" w:cs="楷体"/>
                <w:sz w:val="24"/>
              </w:rPr>
            </w:pPr>
          </w:p>
        </w:tc>
      </w:tr>
      <w:tr w14:paraId="1C1B1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22" w:type="dxa"/>
            <w:vAlign w:val="center"/>
          </w:tcPr>
          <w:p w14:paraId="6FB5A56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教学目标</w:t>
            </w:r>
          </w:p>
          <w:p w14:paraId="29DCA3A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38" w:type="dxa"/>
            <w:gridSpan w:val="7"/>
            <w:vAlign w:val="center"/>
          </w:tcPr>
          <w:p w14:paraId="19D498AB">
            <w:pPr>
              <w:jc w:val="center"/>
              <w:rPr>
                <w:rFonts w:hint="eastAsia" w:ascii="仿宋_GB2312" w:hAnsi="仿宋_GB2312" w:eastAsia="仿宋_GB2312" w:cs="楷体"/>
                <w:sz w:val="24"/>
              </w:rPr>
            </w:pPr>
            <w:r>
              <w:rPr>
                <w:rFonts w:hint="eastAsia" w:ascii="仿宋_GB2312" w:hAnsi="仿宋_GB2312" w:eastAsia="仿宋_GB2312" w:cs="楷体"/>
                <w:sz w:val="24"/>
              </w:rPr>
              <w:t>（知识目标、能力目标、情感态度价值观）</w:t>
            </w:r>
          </w:p>
        </w:tc>
      </w:tr>
      <w:tr w14:paraId="2F93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22" w:type="dxa"/>
            <w:vAlign w:val="center"/>
          </w:tcPr>
          <w:p w14:paraId="6570AC8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教学方法及重难点</w:t>
            </w:r>
          </w:p>
          <w:p w14:paraId="71C5419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38" w:type="dxa"/>
            <w:gridSpan w:val="7"/>
            <w:vAlign w:val="center"/>
          </w:tcPr>
          <w:p w14:paraId="239992F3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56D61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8" w:hRule="atLeast"/>
          <w:jc w:val="center"/>
        </w:trPr>
        <w:tc>
          <w:tcPr>
            <w:tcW w:w="1622" w:type="dxa"/>
            <w:vAlign w:val="center"/>
          </w:tcPr>
          <w:p w14:paraId="64DD4F0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教学设计</w:t>
            </w:r>
          </w:p>
          <w:p w14:paraId="6DE497C3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及思路</w:t>
            </w:r>
          </w:p>
          <w:p w14:paraId="73EDFABF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</w:t>
            </w:r>
            <w:r>
              <w:rPr>
                <w:rFonts w:ascii="黑体" w:hAnsi="黑体" w:eastAsia="黑体" w:cs="宋体"/>
                <w:sz w:val="18"/>
                <w:szCs w:val="18"/>
              </w:rPr>
              <w:t>5</w:t>
            </w:r>
            <w:r>
              <w:rPr>
                <w:rFonts w:hint="eastAsia" w:ascii="黑体" w:hAnsi="黑体" w:eastAsia="黑体" w:cs="宋体"/>
                <w:sz w:val="18"/>
                <w:szCs w:val="18"/>
              </w:rPr>
              <w:t>00字以内）</w:t>
            </w:r>
          </w:p>
        </w:tc>
        <w:tc>
          <w:tcPr>
            <w:tcW w:w="7438" w:type="dxa"/>
            <w:gridSpan w:val="7"/>
            <w:vAlign w:val="center"/>
          </w:tcPr>
          <w:p w14:paraId="362B1892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4C51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622" w:type="dxa"/>
            <w:vAlign w:val="center"/>
          </w:tcPr>
          <w:p w14:paraId="6E5A0037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课后作业及思考</w:t>
            </w:r>
          </w:p>
        </w:tc>
        <w:tc>
          <w:tcPr>
            <w:tcW w:w="7438" w:type="dxa"/>
            <w:gridSpan w:val="7"/>
            <w:vAlign w:val="center"/>
          </w:tcPr>
          <w:p w14:paraId="4DDC0133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D6D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622" w:type="dxa"/>
            <w:vAlign w:val="center"/>
          </w:tcPr>
          <w:p w14:paraId="46B68772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备注</w:t>
            </w:r>
          </w:p>
        </w:tc>
        <w:tc>
          <w:tcPr>
            <w:tcW w:w="7438" w:type="dxa"/>
            <w:gridSpan w:val="7"/>
            <w:vAlign w:val="center"/>
          </w:tcPr>
          <w:p w14:paraId="1A856817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 w14:paraId="47236035">
      <w:pPr>
        <w:spacing w:line="400" w:lineRule="exact"/>
        <w:jc w:val="left"/>
        <w:rPr>
          <w:rFonts w:ascii="仿宋_GB2312" w:hAnsi="仿宋_GB2312" w:eastAsia="仿宋_GB2312" w:cs="楷体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仿宋_GB2312" w:hAnsi="仿宋_GB2312" w:eastAsia="仿宋_GB2312" w:cs="楷体"/>
          <w:sz w:val="32"/>
          <w:szCs w:val="32"/>
        </w:rPr>
        <w:br w:type="page"/>
      </w:r>
    </w:p>
    <w:p w14:paraId="6ADA62D9">
      <w:pPr>
        <w:spacing w:line="400" w:lineRule="exact"/>
        <w:jc w:val="left"/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附件4:</w:t>
      </w:r>
    </w:p>
    <w:p w14:paraId="574F4F20">
      <w:pPr>
        <w:jc w:val="center"/>
        <w:rPr>
          <w:rFonts w:hint="eastAsia" w:ascii="小标宋" w:hAnsi="小标宋" w:eastAsia="小标宋" w:cs="小标宋"/>
          <w:sz w:val="30"/>
          <w:szCs w:val="30"/>
          <w:lang w:val="en-US" w:eastAsia="zh-CN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生态文明素养提升课程教具物资表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354"/>
        <w:gridCol w:w="1594"/>
        <w:gridCol w:w="985"/>
        <w:gridCol w:w="980"/>
        <w:gridCol w:w="1369"/>
      </w:tblGrid>
      <w:tr w14:paraId="30B7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65" w:type="dxa"/>
            <w:gridSpan w:val="6"/>
          </w:tcPr>
          <w:p w14:paraId="2CC58620">
            <w:pPr>
              <w:jc w:val="left"/>
              <w:rPr>
                <w:rFonts w:hint="default" w:ascii="仿宋_GB2312" w:hAnsi="宋体" w:eastAsia="仿宋_GB2312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lang w:val="en-US" w:eastAsia="zh-CN"/>
              </w:rPr>
              <w:t>课程主题：</w:t>
            </w: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               </w:t>
            </w:r>
          </w:p>
        </w:tc>
      </w:tr>
      <w:tr w14:paraId="1C05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83" w:type="dxa"/>
            <w:vAlign w:val="center"/>
          </w:tcPr>
          <w:p w14:paraId="019FC9B6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2354" w:type="dxa"/>
            <w:vAlign w:val="center"/>
          </w:tcPr>
          <w:p w14:paraId="6A0A01D0"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教具/教具所用材料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名称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及购买链接</w:t>
            </w:r>
          </w:p>
        </w:tc>
        <w:tc>
          <w:tcPr>
            <w:tcW w:w="1594" w:type="dxa"/>
            <w:vAlign w:val="center"/>
          </w:tcPr>
          <w:p w14:paraId="0D3B08B6"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用途</w:t>
            </w:r>
          </w:p>
        </w:tc>
        <w:tc>
          <w:tcPr>
            <w:tcW w:w="985" w:type="dxa"/>
            <w:vAlign w:val="center"/>
          </w:tcPr>
          <w:p w14:paraId="1CF47955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数量</w:t>
            </w:r>
          </w:p>
        </w:tc>
        <w:tc>
          <w:tcPr>
            <w:tcW w:w="980" w:type="dxa"/>
            <w:vAlign w:val="center"/>
          </w:tcPr>
          <w:p w14:paraId="69DF7EFA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单价</w:t>
            </w:r>
          </w:p>
        </w:tc>
        <w:tc>
          <w:tcPr>
            <w:tcW w:w="1369" w:type="dxa"/>
            <w:vAlign w:val="center"/>
          </w:tcPr>
          <w:p w14:paraId="3E173980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总价</w:t>
            </w:r>
          </w:p>
        </w:tc>
      </w:tr>
      <w:tr w14:paraId="4ECC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4AD73B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54" w:type="dxa"/>
            <w:vAlign w:val="center"/>
          </w:tcPr>
          <w:p w14:paraId="2D3D633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75582217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40FD34C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1EFD92F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0FB969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46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0E2D04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14:paraId="701A31B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6D21911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358C85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C2152A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56CAD6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05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FC648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54" w:type="dxa"/>
            <w:vAlign w:val="center"/>
          </w:tcPr>
          <w:p w14:paraId="64D52BD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057CC64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031863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B5F277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C791AC7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E9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8B80C2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14:paraId="37B6B84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6B837A5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155A6E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CBAD38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651A9C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E2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4CC7B1A6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54" w:type="dxa"/>
            <w:vAlign w:val="center"/>
          </w:tcPr>
          <w:p w14:paraId="23F70FD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69FE221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F6B5A3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892753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5A89ED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CF9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0C90F68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54" w:type="dxa"/>
            <w:vAlign w:val="center"/>
          </w:tcPr>
          <w:p w14:paraId="5C60DCC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0B7E779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1D59650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B629B3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0EA70E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3698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6169E33E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54" w:type="dxa"/>
            <w:vAlign w:val="center"/>
          </w:tcPr>
          <w:p w14:paraId="363FA18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4C0B0DE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2B2DF02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16A1CE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EE49D0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948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3354442C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54" w:type="dxa"/>
            <w:vAlign w:val="center"/>
          </w:tcPr>
          <w:p w14:paraId="42C824E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14933D3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EBD49C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5070FD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AF80E4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E8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100CCA8C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54" w:type="dxa"/>
            <w:vAlign w:val="center"/>
          </w:tcPr>
          <w:p w14:paraId="55C307D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216641A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248059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02120C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B369F2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CA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65" w:type="dxa"/>
            <w:gridSpan w:val="6"/>
          </w:tcPr>
          <w:p w14:paraId="0913F5D6"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总计：</w:t>
            </w:r>
          </w:p>
        </w:tc>
      </w:tr>
    </w:tbl>
    <w:p w14:paraId="09573956">
      <w:pPr>
        <w:jc w:val="center"/>
        <w:rPr>
          <w:rFonts w:hint="eastAsia" w:ascii="小标宋" w:hAnsi="小标宋" w:eastAsia="小标宋" w:cs="小标宋"/>
          <w:sz w:val="30"/>
          <w:szCs w:val="30"/>
          <w:lang w:val="en-US" w:eastAsia="zh-CN"/>
        </w:rPr>
      </w:pPr>
    </w:p>
    <w:p w14:paraId="11691789">
      <w:pPr>
        <w:spacing w:line="400" w:lineRule="exact"/>
        <w:jc w:val="left"/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</w:pPr>
    </w:p>
    <w:p w14:paraId="426BB228">
      <w:pPr>
        <w:spacing w:line="400" w:lineRule="exact"/>
        <w:jc w:val="left"/>
        <w:rPr>
          <w:rFonts w:hint="default" w:ascii="仿宋_GB2312" w:hAnsi="仿宋_GB2312" w:eastAsia="仿宋_GB2312" w:cs="楷体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0E3EFAA0">
      <w:pPr>
        <w:spacing w:line="400" w:lineRule="exact"/>
        <w:jc w:val="left"/>
        <w:rPr>
          <w:rFonts w:hint="eastAsia" w:ascii="仿宋_GB2312" w:hAnsi="仿宋_GB2312" w:eastAsia="仿宋_GB2312" w:cs="楷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</w:t>
      </w: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楷体"/>
          <w:sz w:val="32"/>
          <w:szCs w:val="32"/>
        </w:rPr>
        <w:t>：</w:t>
      </w:r>
    </w:p>
    <w:p w14:paraId="21217364">
      <w:pPr>
        <w:jc w:val="center"/>
        <w:rPr>
          <w:rFonts w:hint="eastAsia" w:ascii="小标宋" w:hAnsi="小标宋" w:eastAsia="小标宋" w:cs="小标宋"/>
          <w:sz w:val="30"/>
          <w:szCs w:val="30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第二届生态文明素养提升</w:t>
      </w:r>
      <w:r>
        <w:rPr>
          <w:rFonts w:hint="eastAsia" w:ascii="小标宋" w:hAnsi="小标宋" w:eastAsia="小标宋" w:cs="小标宋"/>
          <w:sz w:val="30"/>
          <w:szCs w:val="30"/>
        </w:rPr>
        <w:t>课程征集大赛初赛评分标准</w:t>
      </w:r>
    </w:p>
    <w:tbl>
      <w:tblPr>
        <w:tblStyle w:val="11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772"/>
        <w:gridCol w:w="5086"/>
        <w:gridCol w:w="1451"/>
      </w:tblGrid>
      <w:tr w14:paraId="1EDB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677" w:type="dxa"/>
            <w:gridSpan w:val="2"/>
            <w:tcBorders>
              <w:right w:val="single" w:color="auto" w:sz="0" w:space="0"/>
            </w:tcBorders>
            <w:vAlign w:val="center"/>
          </w:tcPr>
          <w:p w14:paraId="1B547DB3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评分项目</w:t>
            </w:r>
          </w:p>
        </w:tc>
        <w:tc>
          <w:tcPr>
            <w:tcW w:w="5086" w:type="dxa"/>
            <w:tcBorders>
              <w:left w:val="single" w:color="auto" w:sz="0" w:space="0"/>
              <w:right w:val="single" w:color="auto" w:sz="0" w:space="0"/>
            </w:tcBorders>
            <w:vAlign w:val="center"/>
          </w:tcPr>
          <w:p w14:paraId="1367029D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具体内容和评分细则</w:t>
            </w:r>
          </w:p>
        </w:tc>
        <w:tc>
          <w:tcPr>
            <w:tcW w:w="1451" w:type="dxa"/>
            <w:tcBorders>
              <w:left w:val="single" w:color="auto" w:sz="0" w:space="0"/>
            </w:tcBorders>
            <w:vAlign w:val="center"/>
          </w:tcPr>
          <w:p w14:paraId="71DBF88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分值</w:t>
            </w:r>
          </w:p>
        </w:tc>
      </w:tr>
      <w:tr w14:paraId="6367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restart"/>
            <w:vAlign w:val="center"/>
          </w:tcPr>
          <w:p w14:paraId="5EA394D3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课程材料</w:t>
            </w:r>
          </w:p>
        </w:tc>
        <w:tc>
          <w:tcPr>
            <w:tcW w:w="1772" w:type="dxa"/>
            <w:vAlign w:val="center"/>
          </w:tcPr>
          <w:p w14:paraId="4491451C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完整性</w:t>
            </w:r>
          </w:p>
        </w:tc>
        <w:tc>
          <w:tcPr>
            <w:tcW w:w="5086" w:type="dxa"/>
            <w:vAlign w:val="center"/>
          </w:tcPr>
          <w:p w14:paraId="14151093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是否完整</w:t>
            </w:r>
            <w:r>
              <w:rPr>
                <w:rFonts w:hint="eastAsia" w:ascii="仿宋_GB2312" w:hAnsi="仿宋_GB2312" w:eastAsia="仿宋_GB2312" w:cs="宋体"/>
                <w:sz w:val="24"/>
              </w:rPr>
              <w:t>、充分，符合征集要求。</w:t>
            </w:r>
          </w:p>
        </w:tc>
        <w:tc>
          <w:tcPr>
            <w:tcW w:w="1451" w:type="dxa"/>
            <w:vMerge w:val="restart"/>
            <w:vAlign w:val="center"/>
          </w:tcPr>
          <w:p w14:paraId="0729A33C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2</w:t>
            </w:r>
            <w:r>
              <w:rPr>
                <w:rFonts w:hint="eastAsia" w:ascii="仿宋_GB2312" w:hAnsi="仿宋_GB2312" w:eastAsia="仿宋_GB2312" w:cs="宋体"/>
                <w:sz w:val="24"/>
              </w:rPr>
              <w:t>0分</w:t>
            </w:r>
          </w:p>
        </w:tc>
      </w:tr>
      <w:tr w14:paraId="53F5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continue"/>
            <w:vAlign w:val="center"/>
          </w:tcPr>
          <w:p w14:paraId="233E2300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21D18BE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规范性</w:t>
            </w:r>
          </w:p>
        </w:tc>
        <w:tc>
          <w:tcPr>
            <w:tcW w:w="5086" w:type="dxa"/>
            <w:vAlign w:val="center"/>
          </w:tcPr>
          <w:p w14:paraId="7EF0A24F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是否符合规范，如文字排版、图片使用</w:t>
            </w:r>
            <w:r>
              <w:rPr>
                <w:rFonts w:hint="eastAsia" w:ascii="仿宋_GB2312" w:hAnsi="仿宋_GB2312" w:eastAsia="仿宋_GB2312" w:cs="宋体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教具使用</w:t>
            </w:r>
            <w:r>
              <w:rPr>
                <w:rFonts w:ascii="仿宋_GB2312" w:hAnsi="仿宋_GB2312" w:eastAsia="仿宋_GB2312" w:cs="宋体"/>
                <w:sz w:val="24"/>
              </w:rPr>
              <w:t>等。</w:t>
            </w:r>
          </w:p>
        </w:tc>
        <w:tc>
          <w:tcPr>
            <w:tcW w:w="1451" w:type="dxa"/>
            <w:vMerge w:val="continue"/>
            <w:vAlign w:val="center"/>
          </w:tcPr>
          <w:p w14:paraId="708FB3E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03A3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restart"/>
            <w:vAlign w:val="center"/>
          </w:tcPr>
          <w:p w14:paraId="069D68D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  <w:p w14:paraId="5FCAF9FB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课程内容</w:t>
            </w:r>
          </w:p>
          <w:p w14:paraId="08E50D2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5635FAB0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主题明确性</w:t>
            </w:r>
          </w:p>
        </w:tc>
        <w:tc>
          <w:tcPr>
            <w:tcW w:w="5086" w:type="dxa"/>
            <w:vAlign w:val="center"/>
          </w:tcPr>
          <w:p w14:paraId="6FDF1F41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主题</w:t>
            </w:r>
            <w:r>
              <w:rPr>
                <w:rFonts w:ascii="仿宋_GB2312" w:hAnsi="仿宋_GB2312" w:eastAsia="仿宋_GB2312" w:cs="宋体"/>
                <w:sz w:val="24"/>
              </w:rPr>
              <w:t>是否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围绕</w:t>
            </w:r>
            <w:r>
              <w:rPr>
                <w:rFonts w:hint="eastAsia" w:ascii="仿宋_GB2312" w:hAnsi="仿宋_GB2312" w:eastAsia="仿宋_GB2312" w:cs="宋体"/>
                <w:sz w:val="24"/>
              </w:rPr>
              <w:t>鹫峰生态文明教育实践</w:t>
            </w:r>
            <w:r>
              <w:rPr>
                <w:rFonts w:ascii="仿宋_GB2312" w:hAnsi="仿宋_GB2312" w:eastAsia="仿宋_GB2312" w:cs="宋体"/>
                <w:sz w:val="24"/>
              </w:rPr>
              <w:t>，是否清晰明确地传达了</w:t>
            </w:r>
            <w:r>
              <w:rPr>
                <w:rFonts w:hint="eastAsia" w:ascii="仿宋_GB2312" w:hAnsi="仿宋_GB2312" w:eastAsia="仿宋_GB2312" w:cs="宋体"/>
                <w:sz w:val="24"/>
              </w:rPr>
              <w:t>大赛</w:t>
            </w:r>
            <w:r>
              <w:rPr>
                <w:rFonts w:ascii="仿宋_GB2312" w:hAnsi="仿宋_GB2312" w:eastAsia="仿宋_GB2312" w:cs="宋体"/>
                <w:sz w:val="24"/>
              </w:rPr>
              <w:t>理念。</w:t>
            </w:r>
          </w:p>
        </w:tc>
        <w:tc>
          <w:tcPr>
            <w:tcW w:w="1451" w:type="dxa"/>
            <w:vMerge w:val="restart"/>
            <w:vAlign w:val="center"/>
          </w:tcPr>
          <w:p w14:paraId="5DBF0157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40</w:t>
            </w:r>
            <w:r>
              <w:rPr>
                <w:rFonts w:hint="eastAsia" w:ascii="仿宋_GB2312" w:hAnsi="仿宋_GB2312" w:eastAsia="仿宋_GB2312" w:cs="宋体"/>
                <w:sz w:val="24"/>
              </w:rPr>
              <w:t>分</w:t>
            </w:r>
          </w:p>
        </w:tc>
      </w:tr>
      <w:tr w14:paraId="5A344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continue"/>
            <w:vAlign w:val="center"/>
          </w:tcPr>
          <w:p w14:paraId="0A9463D8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38E3F85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受众明确性</w:t>
            </w:r>
          </w:p>
        </w:tc>
        <w:tc>
          <w:tcPr>
            <w:tcW w:w="5086" w:type="dxa"/>
            <w:vAlign w:val="center"/>
          </w:tcPr>
          <w:p w14:paraId="63CDF970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课程是否能够满足其所在组别的受众需求。</w:t>
            </w:r>
          </w:p>
        </w:tc>
        <w:tc>
          <w:tcPr>
            <w:tcW w:w="1451" w:type="dxa"/>
            <w:vMerge w:val="continue"/>
            <w:vAlign w:val="center"/>
          </w:tcPr>
          <w:p w14:paraId="06556217">
            <w:pPr>
              <w:spacing w:line="400" w:lineRule="exact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</w:tr>
      <w:tr w14:paraId="6B16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continue"/>
            <w:vAlign w:val="center"/>
          </w:tcPr>
          <w:p w14:paraId="1A8E481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4F718CE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内容创新性</w:t>
            </w:r>
          </w:p>
        </w:tc>
        <w:tc>
          <w:tcPr>
            <w:tcW w:w="5086" w:type="dxa"/>
            <w:vAlign w:val="center"/>
          </w:tcPr>
          <w:p w14:paraId="52369450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内容是否新颖、独特，能否体现课程特色和亮点</w:t>
            </w:r>
            <w:r>
              <w:rPr>
                <w:rFonts w:hint="eastAsia" w:ascii="仿宋_GB2312" w:hAnsi="仿宋_GB2312" w:eastAsia="仿宋_GB2312" w:cs="宋体"/>
                <w:sz w:val="24"/>
              </w:rPr>
              <w:t>，</w:t>
            </w:r>
            <w:r>
              <w:rPr>
                <w:rFonts w:ascii="仿宋_GB2312" w:hAnsi="仿宋_GB2312" w:eastAsia="仿宋_GB2312" w:cs="宋体"/>
                <w:sz w:val="24"/>
              </w:rPr>
              <w:t>能否提供新的视角和思考。</w:t>
            </w:r>
          </w:p>
        </w:tc>
        <w:tc>
          <w:tcPr>
            <w:tcW w:w="1451" w:type="dxa"/>
            <w:vMerge w:val="continue"/>
            <w:vAlign w:val="center"/>
          </w:tcPr>
          <w:p w14:paraId="12E4B594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7C2C5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5" w:type="dxa"/>
            <w:vMerge w:val="continue"/>
            <w:vAlign w:val="center"/>
          </w:tcPr>
          <w:p w14:paraId="60F2F85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642D425F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可推广性</w:t>
            </w:r>
          </w:p>
        </w:tc>
        <w:tc>
          <w:tcPr>
            <w:tcW w:w="5086" w:type="dxa"/>
            <w:vAlign w:val="center"/>
          </w:tcPr>
          <w:p w14:paraId="37581586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在适当调整活动内容和案例后，能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在其他户外教学场景中开展使用，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具有较强的示范性和推广应用价值。</w:t>
            </w:r>
          </w:p>
        </w:tc>
        <w:tc>
          <w:tcPr>
            <w:tcW w:w="1451" w:type="dxa"/>
            <w:vMerge w:val="continue"/>
            <w:vAlign w:val="center"/>
          </w:tcPr>
          <w:p w14:paraId="493E757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6BB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05" w:type="dxa"/>
            <w:vMerge w:val="restart"/>
            <w:vAlign w:val="center"/>
          </w:tcPr>
          <w:p w14:paraId="4D6B7B5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课程设计</w:t>
            </w:r>
          </w:p>
        </w:tc>
        <w:tc>
          <w:tcPr>
            <w:tcW w:w="1772" w:type="dxa"/>
            <w:vAlign w:val="center"/>
          </w:tcPr>
          <w:p w14:paraId="2F67EAB6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逻辑结构</w:t>
            </w:r>
          </w:p>
        </w:tc>
        <w:tc>
          <w:tcPr>
            <w:tcW w:w="5086" w:type="dxa"/>
            <w:vAlign w:val="center"/>
          </w:tcPr>
          <w:p w14:paraId="40A418BE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课程结构是否合理，各个环节之间是否紧密相连，能否引导学生逐步深入理解</w:t>
            </w:r>
            <w:r>
              <w:rPr>
                <w:rFonts w:hint="eastAsia" w:ascii="仿宋_GB2312" w:hAnsi="仿宋_GB2312" w:eastAsia="仿宋_GB2312" w:cs="宋体"/>
                <w:sz w:val="24"/>
              </w:rPr>
              <w:t>课程内容</w:t>
            </w:r>
            <w:r>
              <w:rPr>
                <w:rFonts w:ascii="仿宋_GB2312" w:hAnsi="仿宋_GB2312" w:eastAsia="仿宋_GB2312" w:cs="宋体"/>
                <w:sz w:val="24"/>
              </w:rPr>
              <w:t>。</w:t>
            </w:r>
          </w:p>
        </w:tc>
        <w:tc>
          <w:tcPr>
            <w:tcW w:w="1451" w:type="dxa"/>
            <w:vMerge w:val="restart"/>
            <w:vAlign w:val="center"/>
          </w:tcPr>
          <w:p w14:paraId="7255F59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4</w:t>
            </w:r>
            <w:r>
              <w:rPr>
                <w:rFonts w:hint="eastAsia" w:ascii="仿宋_GB2312" w:hAnsi="仿宋_GB2312" w:eastAsia="仿宋_GB2312" w:cs="宋体"/>
                <w:sz w:val="24"/>
              </w:rPr>
              <w:t>0分</w:t>
            </w:r>
          </w:p>
        </w:tc>
      </w:tr>
      <w:tr w14:paraId="021E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05" w:type="dxa"/>
            <w:vMerge w:val="continue"/>
            <w:vAlign w:val="center"/>
          </w:tcPr>
          <w:p w14:paraId="372DC49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71DBE01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教学方法</w:t>
            </w:r>
          </w:p>
        </w:tc>
        <w:tc>
          <w:tcPr>
            <w:tcW w:w="5086" w:type="dxa"/>
            <w:vAlign w:val="center"/>
          </w:tcPr>
          <w:p w14:paraId="1B2FFF1D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是否采用了有效的教学方法，如案例分析、小组讨论等，以激发学生的学习兴趣和参与度。</w:t>
            </w:r>
          </w:p>
        </w:tc>
        <w:tc>
          <w:tcPr>
            <w:tcW w:w="1451" w:type="dxa"/>
            <w:vMerge w:val="continue"/>
            <w:vAlign w:val="center"/>
          </w:tcPr>
          <w:p w14:paraId="1B5AB6A8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F25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05" w:type="dxa"/>
            <w:vMerge w:val="continue"/>
            <w:vAlign w:val="center"/>
          </w:tcPr>
          <w:p w14:paraId="55885E13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6B8DF357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互动设计</w:t>
            </w:r>
          </w:p>
        </w:tc>
        <w:tc>
          <w:tcPr>
            <w:tcW w:w="5086" w:type="dxa"/>
            <w:vAlign w:val="center"/>
          </w:tcPr>
          <w:p w14:paraId="3FBD4BCA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融入多元</w:t>
            </w:r>
            <w:r>
              <w:rPr>
                <w:rFonts w:ascii="仿宋_GB2312" w:hAnsi="仿宋_GB2312" w:eastAsia="仿宋_GB2312" w:cs="宋体"/>
                <w:sz w:val="24"/>
              </w:rPr>
              <w:t>的互动环节，如提问、讨论等，以增强学生的参与感和体验感。</w:t>
            </w:r>
          </w:p>
        </w:tc>
        <w:tc>
          <w:tcPr>
            <w:tcW w:w="1451" w:type="dxa"/>
            <w:vMerge w:val="continue"/>
            <w:vAlign w:val="center"/>
          </w:tcPr>
          <w:p w14:paraId="5C114F8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9CD8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905" w:type="dxa"/>
            <w:vMerge w:val="continue"/>
            <w:vAlign w:val="center"/>
          </w:tcPr>
          <w:p w14:paraId="6DA58A0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02AE32FA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可持续性</w:t>
            </w:r>
            <w:r>
              <w:rPr>
                <w:rFonts w:hint="eastAsia" w:ascii="仿宋_GB2312" w:hAnsi="仿宋_GB2312" w:eastAsia="仿宋_GB2312" w:cs="宋体"/>
                <w:sz w:val="24"/>
              </w:rPr>
              <w:t>实践</w:t>
            </w:r>
          </w:p>
        </w:tc>
        <w:tc>
          <w:tcPr>
            <w:tcW w:w="5086" w:type="dxa"/>
            <w:vAlign w:val="center"/>
          </w:tcPr>
          <w:p w14:paraId="6FE645E8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课程是否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纳入长期规划</w:t>
            </w:r>
            <w:r>
              <w:rPr>
                <w:rFonts w:ascii="仿宋_GB2312" w:hAnsi="仿宋_GB2312" w:eastAsia="仿宋_GB2312" w:cs="宋体"/>
                <w:sz w:val="24"/>
              </w:rPr>
              <w:t>，能否形成完整的课程体系，为</w:t>
            </w:r>
            <w:r>
              <w:rPr>
                <w:rFonts w:hint="eastAsia" w:ascii="仿宋_GB2312" w:hAnsi="仿宋_GB2312" w:eastAsia="仿宋_GB2312" w:cs="宋体"/>
                <w:sz w:val="24"/>
              </w:rPr>
              <w:t>鹫峰生态文明教育实践</w:t>
            </w:r>
            <w:r>
              <w:rPr>
                <w:rFonts w:ascii="仿宋_GB2312" w:hAnsi="仿宋_GB2312" w:eastAsia="仿宋_GB2312" w:cs="宋体"/>
                <w:sz w:val="24"/>
              </w:rPr>
              <w:t>做出</w:t>
            </w:r>
            <w:r>
              <w:rPr>
                <w:rFonts w:hint="eastAsia" w:ascii="仿宋_GB2312" w:hAnsi="仿宋_GB2312" w:eastAsia="仿宋_GB2312" w:cs="宋体"/>
                <w:sz w:val="24"/>
              </w:rPr>
              <w:t>持续性</w:t>
            </w:r>
            <w:r>
              <w:rPr>
                <w:rFonts w:ascii="仿宋_GB2312" w:hAnsi="仿宋_GB2312" w:eastAsia="仿宋_GB2312" w:cs="宋体"/>
                <w:sz w:val="24"/>
              </w:rPr>
              <w:t>贡献。</w:t>
            </w:r>
          </w:p>
        </w:tc>
        <w:tc>
          <w:tcPr>
            <w:tcW w:w="1451" w:type="dxa"/>
            <w:vMerge w:val="continue"/>
            <w:vAlign w:val="center"/>
          </w:tcPr>
          <w:p w14:paraId="7014D21D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</w:tbl>
    <w:p w14:paraId="0C657266">
      <w:pPr>
        <w:spacing w:line="400" w:lineRule="exact"/>
        <w:jc w:val="left"/>
        <w:rPr>
          <w:rFonts w:hint="eastAsia" w:ascii="仿宋_GB2312" w:hAnsi="仿宋_GB2312" w:eastAsia="仿宋_GB2312" w:cs="宋体"/>
          <w:b/>
          <w:bCs/>
          <w:sz w:val="24"/>
        </w:rPr>
      </w:pPr>
      <w:r>
        <w:rPr>
          <w:rFonts w:hint="eastAsia" w:ascii="仿宋_GB2312" w:hAnsi="仿宋_GB2312" w:eastAsia="仿宋_GB2312" w:cs="宋体"/>
          <w:b/>
          <w:bCs/>
          <w:sz w:val="24"/>
        </w:rPr>
        <w:t>注：</w:t>
      </w:r>
    </w:p>
    <w:p w14:paraId="2AE27418">
      <w:pPr>
        <w:spacing w:line="400" w:lineRule="exact"/>
        <w:ind w:firstLine="482" w:firstLineChars="200"/>
        <w:jc w:val="left"/>
        <w:rPr>
          <w:rFonts w:hint="eastAsia" w:ascii="仿宋_GB2312" w:hAnsi="仿宋_GB2312" w:eastAsia="仿宋_GB2312" w:cs="宋体"/>
          <w:b/>
          <w:bCs/>
          <w:sz w:val="24"/>
        </w:rPr>
      </w:pPr>
      <w:r>
        <w:rPr>
          <w:rFonts w:hint="eastAsia" w:ascii="仿宋_GB2312" w:hAnsi="仿宋_GB2312" w:eastAsia="仿宋_GB2312" w:cs="宋体"/>
          <w:b/>
          <w:bCs/>
          <w:sz w:val="24"/>
        </w:rPr>
        <w:t>1.初赛评选结果依据分数排名划分为：晋级、通过、未通过；</w:t>
      </w:r>
    </w:p>
    <w:p w14:paraId="18AB47D0">
      <w:pPr>
        <w:spacing w:line="400" w:lineRule="exact"/>
        <w:ind w:firstLine="482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bCs/>
          <w:sz w:val="24"/>
        </w:rPr>
        <w:t>2.材料不齐全或严重偏离主题的作品直接标注为“未通过”。</w:t>
      </w:r>
    </w:p>
    <w:sectPr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F071BD-A391-4655-822C-DC4906BCF5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粗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E38C5EF-F102-4C6C-92B7-1634BAC7DD8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B26024D-00E5-4443-9AB0-AEB9C30916D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0D9FF0F-D85A-4A22-8FD8-E8344174F68C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0CB38CF3-9367-43DF-8F9B-7866C6F665BC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2C641">
    <w:pPr>
      <w:spacing w:line="235" w:lineRule="auto"/>
      <w:rPr>
        <w:rFonts w:hint="eastAsia"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A0D4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3A0D4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5804F">
    <w:pPr>
      <w:spacing w:line="235" w:lineRule="auto"/>
      <w:rPr>
        <w:rFonts w:hint="eastAsia"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0DC1D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0DC1D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9B3EB2"/>
    <w:rsid w:val="07245E7A"/>
    <w:rsid w:val="07A80859"/>
    <w:rsid w:val="0A0C00B3"/>
    <w:rsid w:val="0AE15C2C"/>
    <w:rsid w:val="0AED2865"/>
    <w:rsid w:val="0C7B26E6"/>
    <w:rsid w:val="0E132027"/>
    <w:rsid w:val="103C5FE2"/>
    <w:rsid w:val="10B262A5"/>
    <w:rsid w:val="113D2012"/>
    <w:rsid w:val="14DA401C"/>
    <w:rsid w:val="1732748D"/>
    <w:rsid w:val="17E01949"/>
    <w:rsid w:val="18C82B09"/>
    <w:rsid w:val="1CA0088A"/>
    <w:rsid w:val="1DE81BAD"/>
    <w:rsid w:val="1E682698"/>
    <w:rsid w:val="1EC47279"/>
    <w:rsid w:val="1FA47700"/>
    <w:rsid w:val="1FD71749"/>
    <w:rsid w:val="22941CAE"/>
    <w:rsid w:val="24191CE3"/>
    <w:rsid w:val="246D0546"/>
    <w:rsid w:val="25205A7B"/>
    <w:rsid w:val="259124D5"/>
    <w:rsid w:val="28E02902"/>
    <w:rsid w:val="29253660"/>
    <w:rsid w:val="2A202079"/>
    <w:rsid w:val="2A6E51CD"/>
    <w:rsid w:val="2DBF4E1C"/>
    <w:rsid w:val="34CC3DC9"/>
    <w:rsid w:val="34D36666"/>
    <w:rsid w:val="35ED3757"/>
    <w:rsid w:val="38BF3A2D"/>
    <w:rsid w:val="3995038E"/>
    <w:rsid w:val="3A145456"/>
    <w:rsid w:val="3B1B17A9"/>
    <w:rsid w:val="3D7309E6"/>
    <w:rsid w:val="44372618"/>
    <w:rsid w:val="44670B79"/>
    <w:rsid w:val="446948F1"/>
    <w:rsid w:val="47E03BBC"/>
    <w:rsid w:val="482D3E87"/>
    <w:rsid w:val="483D1082"/>
    <w:rsid w:val="49A10689"/>
    <w:rsid w:val="4C251A35"/>
    <w:rsid w:val="4CA50490"/>
    <w:rsid w:val="4F924532"/>
    <w:rsid w:val="50944A91"/>
    <w:rsid w:val="56586573"/>
    <w:rsid w:val="56E85B49"/>
    <w:rsid w:val="57D460CD"/>
    <w:rsid w:val="5CF56249"/>
    <w:rsid w:val="5FC04F7B"/>
    <w:rsid w:val="60432042"/>
    <w:rsid w:val="613D4CE3"/>
    <w:rsid w:val="64642544"/>
    <w:rsid w:val="64680429"/>
    <w:rsid w:val="65A8179A"/>
    <w:rsid w:val="660B5367"/>
    <w:rsid w:val="66A80E51"/>
    <w:rsid w:val="689F23F2"/>
    <w:rsid w:val="6AF9A77A"/>
    <w:rsid w:val="6CA200F0"/>
    <w:rsid w:val="6D9F5CF2"/>
    <w:rsid w:val="700A66D9"/>
    <w:rsid w:val="71681909"/>
    <w:rsid w:val="71FE74A5"/>
    <w:rsid w:val="74746816"/>
    <w:rsid w:val="74E213A6"/>
    <w:rsid w:val="76577918"/>
    <w:rsid w:val="77DFFD61"/>
    <w:rsid w:val="78B83176"/>
    <w:rsid w:val="7A916B65"/>
    <w:rsid w:val="7CC876FF"/>
    <w:rsid w:val="7DFF3F69"/>
    <w:rsid w:val="7FD12D6F"/>
    <w:rsid w:val="DAFBAEB7"/>
    <w:rsid w:val="DFBD8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link w:val="16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qFormat/>
    <w:uiPriority w:val="0"/>
    <w:pPr>
      <w:jc w:val="left"/>
    </w:pPr>
  </w:style>
  <w:style w:type="paragraph" w:styleId="5">
    <w:name w:val="Body Text"/>
    <w:basedOn w:val="1"/>
    <w:link w:val="18"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2"/>
      <w:szCs w:val="32"/>
      <w:lang w:eastAsia="en-US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Title"/>
    <w:basedOn w:val="1"/>
    <w:next w:val="1"/>
    <w:qFormat/>
    <w:uiPriority w:val="0"/>
    <w:pPr>
      <w:spacing w:before="240" w:after="60" w:line="700" w:lineRule="exact"/>
      <w:jc w:val="center"/>
      <w:outlineLvl w:val="0"/>
    </w:pPr>
    <w:rPr>
      <w:rFonts w:ascii="Calibri Light" w:hAnsi="Calibri Light" w:eastAsia="宋体" w:cs="宋体"/>
      <w:b/>
      <w:bCs/>
      <w:sz w:val="32"/>
      <w:szCs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table" w:customStyle="1" w:styleId="14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标题 2 字符"/>
    <w:basedOn w:val="12"/>
    <w:link w:val="2"/>
    <w:qFormat/>
    <w:uiPriority w:val="0"/>
    <w:rPr>
      <w:rFonts w:ascii="Arial" w:hAnsi="Arial" w:eastAsia="黑体" w:cs="宋体"/>
      <w:b/>
      <w:kern w:val="2"/>
      <w:sz w:val="32"/>
      <w:szCs w:val="24"/>
    </w:rPr>
  </w:style>
  <w:style w:type="character" w:customStyle="1" w:styleId="16">
    <w:name w:val="标题 3 字符"/>
    <w:basedOn w:val="12"/>
    <w:link w:val="3"/>
    <w:qFormat/>
    <w:uiPriority w:val="0"/>
    <w:rPr>
      <w:rFonts w:ascii="Calibri" w:hAnsi="Calibri" w:eastAsia="宋体" w:cs="宋体"/>
      <w:b/>
      <w:kern w:val="2"/>
      <w:sz w:val="32"/>
      <w:szCs w:val="24"/>
    </w:rPr>
  </w:style>
  <w:style w:type="character" w:customStyle="1" w:styleId="17">
    <w:name w:val="批注文字 字符"/>
    <w:basedOn w:val="12"/>
    <w:link w:val="4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8">
    <w:name w:val="正文文本 字符"/>
    <w:basedOn w:val="12"/>
    <w:link w:val="5"/>
    <w:qFormat/>
    <w:uiPriority w:val="0"/>
    <w:rPr>
      <w:rFonts w:ascii="仿宋" w:hAnsi="仿宋" w:eastAsia="仿宋" w:cs="仿宋"/>
      <w:snapToGrid w:val="0"/>
      <w:color w:val="000000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4784</Words>
  <Characters>4994</Characters>
  <Paragraphs>306</Paragraphs>
  <TotalTime>3</TotalTime>
  <ScaleCrop>false</ScaleCrop>
  <LinksUpToDate>false</LinksUpToDate>
  <CharactersWithSpaces>5080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2025-09-09T23:00:00Z</dcterms:created>
  <dc:creator>jlyTracy</dc:creator>
  <cp:lastModifiedBy>岳攀</cp:lastModifiedBy>
  <dcterms:modified xsi:type="dcterms:W3CDTF">2025-12-26T01:07:22Z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eyJoZGlkIjoiOTY5OWVkMTk3NzkxOWU2MzE0ZDA1NWQ2ZmJlNjM4NzIiLCJ1c2VySWQiOiIyNDY2OTUyNTkifQ==</vt:lpwstr>
  </property>
  <property fmtid="{D5CDD505-2E9C-101B-9397-08002B2CF9AE}" pid="4" name="ICV">
    <vt:lpwstr>2810C87FADA341518D47A442C1160F7C_13</vt:lpwstr>
  </property>
</Properties>
</file>